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ED7A" w14:textId="77777777" w:rsidR="007F628D" w:rsidRDefault="00F706E1">
      <w:pPr>
        <w:spacing w:after="80"/>
      </w:pPr>
      <w:r>
        <w:rPr>
          <w:noProof/>
        </w:rPr>
        <w:drawing>
          <wp:inline distT="0" distB="0" distL="0" distR="0" wp14:anchorId="49063A87" wp14:editId="0F0038A5">
            <wp:extent cx="169545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695450" cy="885825"/>
                    </a:xfrm>
                    <a:prstGeom prst="rect">
                      <a:avLst/>
                    </a:prstGeom>
                  </pic:spPr>
                </pic:pic>
              </a:graphicData>
            </a:graphic>
          </wp:inline>
        </w:drawing>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F628D" w14:paraId="12CD33AB" w14:textId="77777777">
        <w:tc>
          <w:tcPr>
            <w:tcW w:w="9026" w:type="dxa"/>
            <w:tcBorders>
              <w:top w:val="none" w:sz="0" w:space="0" w:color="FFFFFF"/>
              <w:left w:val="none" w:sz="0" w:space="0" w:color="FFFFFF"/>
              <w:bottom w:val="none" w:sz="0" w:space="0" w:color="FFFFFF"/>
              <w:right w:val="none" w:sz="0" w:space="0" w:color="FFFFFF"/>
            </w:tcBorders>
            <w:shd w:val="clear" w:color="auto" w:fill="ED1C24"/>
            <w:tcMar>
              <w:top w:w="200" w:type="dxa"/>
              <w:left w:w="300" w:type="dxa"/>
              <w:bottom w:w="200" w:type="dxa"/>
              <w:right w:w="300" w:type="dxa"/>
            </w:tcMar>
            <w:vAlign w:val="center"/>
          </w:tcPr>
          <w:p w14:paraId="29A12A4D" w14:textId="77777777" w:rsidR="007F628D" w:rsidRDefault="00F706E1">
            <w:pPr>
              <w:jc w:val="center"/>
            </w:pPr>
            <w:r>
              <w:rPr>
                <w:b/>
                <w:bCs/>
                <w:color w:val="FFFFFF"/>
                <w:sz w:val="44"/>
                <w:szCs w:val="44"/>
              </w:rPr>
              <w:t>STORAGE TANK CONSTRUCTION OPERATIVE</w:t>
            </w:r>
          </w:p>
          <w:p w14:paraId="26E0A2AB" w14:textId="77777777" w:rsidR="007F628D" w:rsidRDefault="00F706E1">
            <w:pPr>
              <w:spacing w:before="60"/>
              <w:jc w:val="center"/>
            </w:pPr>
            <w:r>
              <w:rPr>
                <w:color w:val="FFFFFF"/>
                <w:sz w:val="26"/>
                <w:szCs w:val="26"/>
              </w:rPr>
              <w:t>NAECI Grade 3 — Semi-Skilled Operative</w:t>
            </w:r>
          </w:p>
        </w:tc>
      </w:tr>
    </w:tbl>
    <w:p w14:paraId="6543EDC7" w14:textId="77777777" w:rsidR="007F628D" w:rsidRDefault="007F628D">
      <w:pPr>
        <w:spacing w:before="1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F628D" w14:paraId="77B33C92" w14:textId="77777777">
        <w:tc>
          <w:tcPr>
            <w:tcW w:w="9026" w:type="dxa"/>
            <w:tcBorders>
              <w:top w:val="none" w:sz="0" w:space="0" w:color="FFFFFF"/>
              <w:left w:val="none" w:sz="0" w:space="0" w:color="FFFFFF"/>
              <w:bottom w:val="none" w:sz="0" w:space="0" w:color="FFFFFF"/>
              <w:right w:val="none" w:sz="0" w:space="0" w:color="FFFFFF"/>
            </w:tcBorders>
            <w:shd w:val="clear" w:color="auto" w:fill="333333"/>
            <w:tcMar>
              <w:top w:w="120" w:type="dxa"/>
              <w:left w:w="260" w:type="dxa"/>
              <w:bottom w:w="120" w:type="dxa"/>
              <w:right w:w="260" w:type="dxa"/>
            </w:tcMar>
          </w:tcPr>
          <w:p w14:paraId="7A05D025" w14:textId="77777777" w:rsidR="007F628D" w:rsidRDefault="00F706E1">
            <w:r>
              <w:rPr>
                <w:b/>
                <w:bCs/>
                <w:color w:val="FFFFFF"/>
                <w:sz w:val="20"/>
                <w:szCs w:val="20"/>
              </w:rPr>
              <w:t>Key Function</w:t>
            </w:r>
          </w:p>
          <w:p w14:paraId="4C0F0803" w14:textId="77777777" w:rsidR="007F628D" w:rsidRDefault="00F706E1">
            <w:pPr>
              <w:spacing w:before="60"/>
            </w:pPr>
            <w:r>
              <w:rPr>
                <w:color w:val="FFFFFF"/>
              </w:rPr>
              <w:t>To assist in the site erection, assembly and construction of large above-ground storage tanks in accordance with applicable standards, drawings, procedures and quality requirements.</w:t>
            </w:r>
          </w:p>
        </w:tc>
      </w:tr>
    </w:tbl>
    <w:p w14:paraId="113A3F25" w14:textId="25C59FA2" w:rsidR="00710D44" w:rsidRDefault="00710D44">
      <w:pPr>
        <w:spacing w:before="120"/>
      </w:pPr>
      <w:r>
        <w:rPr>
          <w:noProof/>
        </w:rPr>
        <w:drawing>
          <wp:inline distT="0" distB="0" distL="0" distR="0" wp14:anchorId="7E804A44" wp14:editId="2907A805">
            <wp:extent cx="5702300" cy="844550"/>
            <wp:effectExtent l="0" t="0" r="0" b="0"/>
            <wp:docPr id="1237723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2300" cy="844550"/>
                    </a:xfrm>
                    <a:prstGeom prst="rect">
                      <a:avLst/>
                    </a:prstGeom>
                    <a:noFill/>
                  </pic:spPr>
                </pic:pic>
              </a:graphicData>
            </a:graphic>
          </wp:inline>
        </w:drawing>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F628D" w14:paraId="469928EE" w14:textId="77777777">
        <w:tc>
          <w:tcPr>
            <w:tcW w:w="9026" w:type="dxa"/>
            <w:tcBorders>
              <w:top w:val="single" w:sz="4" w:space="0" w:color="BFBFBF"/>
              <w:left w:val="single" w:sz="4" w:space="0" w:color="BFBFBF"/>
              <w:bottom w:val="single" w:sz="4" w:space="0" w:color="BFBFBF"/>
              <w:right w:val="single" w:sz="4" w:space="0" w:color="BFBFBF"/>
            </w:tcBorders>
            <w:shd w:val="clear" w:color="auto" w:fill="ED1C24"/>
            <w:tcMar>
              <w:top w:w="100" w:type="dxa"/>
              <w:left w:w="160" w:type="dxa"/>
              <w:bottom w:w="100" w:type="dxa"/>
              <w:right w:w="160" w:type="dxa"/>
            </w:tcMar>
          </w:tcPr>
          <w:p w14:paraId="333D0297" w14:textId="77777777" w:rsidR="007F628D" w:rsidRDefault="00F706E1">
            <w:r>
              <w:rPr>
                <w:b/>
                <w:bCs/>
                <w:color w:val="FFFFFF"/>
                <w:sz w:val="20"/>
                <w:szCs w:val="20"/>
              </w:rPr>
              <w:t>Main Duties &amp; Responsibilities</w:t>
            </w:r>
          </w:p>
        </w:tc>
      </w:tr>
      <w:tr w:rsidR="007F628D" w14:paraId="44391EA9" w14:textId="77777777">
        <w:tc>
          <w:tcPr>
            <w:tcW w:w="9026"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60" w:type="dxa"/>
              <w:bottom w:w="100" w:type="dxa"/>
              <w:right w:w="160" w:type="dxa"/>
            </w:tcMar>
          </w:tcPr>
          <w:p w14:paraId="7CC416A3" w14:textId="72CD090D" w:rsidR="007F628D" w:rsidRDefault="00F706E1">
            <w:pPr>
              <w:pStyle w:val="ListParagraph"/>
              <w:numPr>
                <w:ilvl w:val="0"/>
                <w:numId w:val="2"/>
              </w:numPr>
              <w:spacing w:before="40" w:after="40"/>
            </w:pPr>
            <w:r>
              <w:t>To carry out tank shell plate handling, positioning and welding preparation activities under the direction of a skilled Plater or Charge-hand.</w:t>
            </w:r>
          </w:p>
          <w:p w14:paraId="09A565CD" w14:textId="77777777" w:rsidR="007F628D" w:rsidRDefault="00F706E1">
            <w:pPr>
              <w:pStyle w:val="ListParagraph"/>
              <w:numPr>
                <w:ilvl w:val="0"/>
                <w:numId w:val="2"/>
              </w:numPr>
              <w:spacing w:before="40" w:after="40"/>
            </w:pPr>
            <w:r>
              <w:t>To assist with the erection, alignment and temporary support of tank shell courses, roof structure and floor plates.</w:t>
            </w:r>
          </w:p>
          <w:p w14:paraId="293F233E" w14:textId="77777777" w:rsidR="007F628D" w:rsidRDefault="00F706E1">
            <w:pPr>
              <w:pStyle w:val="ListParagraph"/>
              <w:numPr>
                <w:ilvl w:val="0"/>
                <w:numId w:val="2"/>
              </w:numPr>
              <w:spacing w:before="40" w:after="40"/>
            </w:pPr>
            <w:r>
              <w:t>To prepare and clean weld joint areas by grinding, wire brushing and chipping in readiness for inspection and welding.</w:t>
            </w:r>
          </w:p>
          <w:p w14:paraId="7637DD15" w14:textId="77777777" w:rsidR="007F628D" w:rsidRDefault="00F706E1">
            <w:pPr>
              <w:pStyle w:val="ListParagraph"/>
              <w:numPr>
                <w:ilvl w:val="0"/>
                <w:numId w:val="2"/>
              </w:numPr>
              <w:spacing w:before="40" w:after="40"/>
            </w:pPr>
            <w:r>
              <w:t>To handle, sort and stage materials, components and consumables at the point of use.</w:t>
            </w:r>
          </w:p>
          <w:p w14:paraId="58296D7B" w14:textId="77777777" w:rsidR="007F628D" w:rsidRDefault="00F706E1">
            <w:pPr>
              <w:pStyle w:val="ListParagraph"/>
              <w:numPr>
                <w:ilvl w:val="0"/>
                <w:numId w:val="2"/>
              </w:numPr>
              <w:spacing w:before="40" w:after="40"/>
            </w:pPr>
            <w:r>
              <w:t>To assist in the fitting-up of nozzles, manholes, stiffener rings and appurtenances to tank shell and roof.</w:t>
            </w:r>
          </w:p>
          <w:p w14:paraId="4859F574" w14:textId="77777777" w:rsidR="007F628D" w:rsidRDefault="00F706E1">
            <w:pPr>
              <w:pStyle w:val="ListParagraph"/>
              <w:numPr>
                <w:ilvl w:val="0"/>
                <w:numId w:val="2"/>
              </w:numPr>
              <w:spacing w:before="40" w:after="40"/>
            </w:pPr>
            <w:r>
              <w:t>To operate a Telehandler (CPCS A17 Category C &amp; E) for the safe lifting, placing and moving of materials and equipment on the tank construction site.</w:t>
            </w:r>
          </w:p>
          <w:p w14:paraId="456E8F3F" w14:textId="76E18A41" w:rsidR="00724583" w:rsidRDefault="00724583">
            <w:pPr>
              <w:pStyle w:val="ListParagraph"/>
              <w:numPr>
                <w:ilvl w:val="0"/>
                <w:numId w:val="2"/>
              </w:numPr>
              <w:spacing w:before="40" w:after="40"/>
            </w:pPr>
            <w:r>
              <w:t>To carry out weld treatment and cleaning after completion of welded joints.</w:t>
            </w:r>
          </w:p>
          <w:p w14:paraId="4DE51CE1" w14:textId="29F8126C" w:rsidR="00724583" w:rsidRDefault="00724583" w:rsidP="00724583">
            <w:pPr>
              <w:pStyle w:val="ListParagraph"/>
              <w:numPr>
                <w:ilvl w:val="0"/>
                <w:numId w:val="2"/>
              </w:numPr>
              <w:spacing w:before="40" w:after="40"/>
            </w:pPr>
            <w:r>
              <w:t>To provide standby / entry man and firewatcher duties as required</w:t>
            </w:r>
          </w:p>
          <w:p w14:paraId="3E2A40F4" w14:textId="77777777" w:rsidR="007F628D" w:rsidRDefault="00F706E1">
            <w:pPr>
              <w:pStyle w:val="ListParagraph"/>
              <w:numPr>
                <w:ilvl w:val="0"/>
                <w:numId w:val="2"/>
              </w:numPr>
              <w:spacing w:before="40" w:after="40"/>
            </w:pPr>
            <w:r>
              <w:t>To carry out general housekeeping and waste segregation duties within the work area to maintain a safe and tidy site.</w:t>
            </w:r>
          </w:p>
          <w:p w14:paraId="0EDCA928" w14:textId="77777777" w:rsidR="007F628D" w:rsidRDefault="00F706E1">
            <w:pPr>
              <w:pStyle w:val="ListParagraph"/>
              <w:numPr>
                <w:ilvl w:val="0"/>
                <w:numId w:val="2"/>
              </w:numPr>
              <w:spacing w:before="40" w:after="40"/>
            </w:pPr>
            <w:r>
              <w:t>To adhere to all applicable safety requirements including pre-use checks of tools, plant and equipment; use of correct PPE at all times.</w:t>
            </w:r>
          </w:p>
          <w:p w14:paraId="42521F66" w14:textId="77777777" w:rsidR="007F628D" w:rsidRDefault="00F706E1">
            <w:pPr>
              <w:pStyle w:val="ListParagraph"/>
              <w:numPr>
                <w:ilvl w:val="0"/>
                <w:numId w:val="2"/>
              </w:numPr>
              <w:spacing w:before="40" w:after="40"/>
            </w:pPr>
            <w:r>
              <w:t>To comply with the project Quality Plan, Inspection &amp; Test Plan (ITP) and any Hold/Witness points relevant to semi-skilled activities.</w:t>
            </w:r>
          </w:p>
          <w:p w14:paraId="638B6AE9" w14:textId="77777777" w:rsidR="007F628D" w:rsidRDefault="00F706E1">
            <w:pPr>
              <w:pStyle w:val="ListParagraph"/>
              <w:numPr>
                <w:ilvl w:val="0"/>
                <w:numId w:val="2"/>
              </w:numPr>
              <w:spacing w:before="40" w:after="40"/>
            </w:pPr>
            <w:r>
              <w:t>To report defects, near-misses or non-conformances to the Charge-hand or Site Supervisor immediately.</w:t>
            </w:r>
          </w:p>
          <w:p w14:paraId="76916B32" w14:textId="77777777" w:rsidR="007F628D" w:rsidRDefault="00F706E1">
            <w:pPr>
              <w:pStyle w:val="ListParagraph"/>
              <w:numPr>
                <w:ilvl w:val="0"/>
                <w:numId w:val="2"/>
              </w:numPr>
              <w:spacing w:before="40" w:after="40"/>
            </w:pPr>
            <w:r>
              <w:t>To use hand tools, power tools and ancillary equipment associated with tank construction activities within the limits of training and certification held.</w:t>
            </w:r>
          </w:p>
          <w:p w14:paraId="43CA5559" w14:textId="77777777" w:rsidR="007F628D" w:rsidRDefault="00F706E1">
            <w:pPr>
              <w:pStyle w:val="ListParagraph"/>
              <w:numPr>
                <w:ilvl w:val="0"/>
                <w:numId w:val="2"/>
              </w:numPr>
              <w:spacing w:before="40" w:after="40"/>
            </w:pPr>
            <w:r>
              <w:t>To undertake any additional tasks reasonably requested by the Charge-hand, Supervisor or Project Manager consistent with the operative's competence and NAECI Grade 3 classification.</w:t>
            </w:r>
          </w:p>
        </w:tc>
      </w:tr>
    </w:tbl>
    <w:p w14:paraId="5E59FF60" w14:textId="77777777" w:rsidR="007F628D" w:rsidRDefault="007F628D">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F628D" w14:paraId="49A155F5" w14:textId="77777777">
        <w:tc>
          <w:tcPr>
            <w:tcW w:w="9026" w:type="dxa"/>
            <w:tcBorders>
              <w:top w:val="single" w:sz="4" w:space="0" w:color="BFBFBF"/>
              <w:left w:val="single" w:sz="4" w:space="0" w:color="BFBFBF"/>
              <w:bottom w:val="single" w:sz="4" w:space="0" w:color="BFBFBF"/>
              <w:right w:val="single" w:sz="4" w:space="0" w:color="BFBFBF"/>
            </w:tcBorders>
            <w:shd w:val="clear" w:color="auto" w:fill="ED1C24"/>
            <w:tcMar>
              <w:top w:w="100" w:type="dxa"/>
              <w:left w:w="160" w:type="dxa"/>
              <w:bottom w:w="100" w:type="dxa"/>
              <w:right w:w="160" w:type="dxa"/>
            </w:tcMar>
          </w:tcPr>
          <w:p w14:paraId="3DA6F8BE" w14:textId="77777777" w:rsidR="007F628D" w:rsidRDefault="00F706E1">
            <w:r>
              <w:rPr>
                <w:b/>
                <w:bCs/>
                <w:color w:val="FFFFFF"/>
                <w:sz w:val="20"/>
                <w:szCs w:val="20"/>
              </w:rPr>
              <w:t>Qualifications and Experience</w:t>
            </w:r>
          </w:p>
        </w:tc>
      </w:tr>
      <w:tr w:rsidR="007F628D" w14:paraId="05E2895B" w14:textId="77777777">
        <w:tc>
          <w:tcPr>
            <w:tcW w:w="9026" w:type="dxa"/>
            <w:tcBorders>
              <w:top w:val="single" w:sz="4" w:space="0" w:color="BFBFBF"/>
              <w:left w:val="single" w:sz="4" w:space="0" w:color="BFBFBF"/>
              <w:bottom w:val="single" w:sz="4" w:space="0" w:color="BFBFBF"/>
              <w:right w:val="single" w:sz="4" w:space="0" w:color="BFBFBF"/>
            </w:tcBorders>
            <w:shd w:val="clear" w:color="auto" w:fill="F2F2F2"/>
            <w:tcMar>
              <w:top w:w="80" w:type="dxa"/>
              <w:left w:w="160" w:type="dxa"/>
              <w:bottom w:w="80" w:type="dxa"/>
              <w:right w:w="160" w:type="dxa"/>
            </w:tcMar>
          </w:tcPr>
          <w:p w14:paraId="4D6B760A" w14:textId="77777777" w:rsidR="007F628D" w:rsidRDefault="00F706E1">
            <w:pPr>
              <w:spacing w:before="40" w:after="60"/>
            </w:pPr>
            <w:r>
              <w:rPr>
                <w:b/>
                <w:bCs/>
              </w:rPr>
              <w:t>Mandatory Qualifications</w:t>
            </w:r>
          </w:p>
          <w:p w14:paraId="2E9C35E6" w14:textId="77777777" w:rsidR="007F628D" w:rsidRDefault="00F706E1">
            <w:pPr>
              <w:pStyle w:val="ListParagraph"/>
              <w:numPr>
                <w:ilvl w:val="0"/>
                <w:numId w:val="2"/>
              </w:numPr>
              <w:spacing w:before="40" w:after="40"/>
            </w:pPr>
            <w:r>
              <w:t>CPCS Red Card (Trained Operator) or CPCS Blue Card (Competent Operator) — A17 Telehandler, Categories C (Lifting &amp; Placing) and E (Travelling with Load), both required.</w:t>
            </w:r>
          </w:p>
          <w:p w14:paraId="39CC9158" w14:textId="77777777" w:rsidR="007F628D" w:rsidRDefault="00F706E1">
            <w:pPr>
              <w:pStyle w:val="ListParagraph"/>
              <w:numPr>
                <w:ilvl w:val="0"/>
                <w:numId w:val="2"/>
              </w:numPr>
              <w:spacing w:before="40" w:after="40"/>
            </w:pPr>
            <w:r>
              <w:t>Valid Site Safety Passport — CCNSG Safety Passport or equivalent (e.g. CSCS, CISRS) accepted.</w:t>
            </w:r>
          </w:p>
          <w:p w14:paraId="77F0C02C" w14:textId="77777777" w:rsidR="007F628D" w:rsidRDefault="00F706E1">
            <w:pPr>
              <w:spacing w:before="120" w:after="60"/>
            </w:pPr>
            <w:r>
              <w:rPr>
                <w:b/>
                <w:bCs/>
              </w:rPr>
              <w:lastRenderedPageBreak/>
              <w:t>Desirable Qualifications &amp; Experience</w:t>
            </w:r>
          </w:p>
          <w:p w14:paraId="6A0944B4" w14:textId="77777777" w:rsidR="007F628D" w:rsidRDefault="00F706E1">
            <w:pPr>
              <w:pStyle w:val="ListParagraph"/>
              <w:numPr>
                <w:ilvl w:val="0"/>
                <w:numId w:val="2"/>
              </w:numPr>
              <w:spacing w:before="40" w:after="40"/>
            </w:pPr>
            <w:r>
              <w:t>Previous semi-skilled experience on above-ground storage tank construction or heavy industrial site fabrication.</w:t>
            </w:r>
          </w:p>
          <w:p w14:paraId="009D9CD0" w14:textId="77777777" w:rsidR="007F628D" w:rsidRDefault="00F706E1">
            <w:pPr>
              <w:pStyle w:val="ListParagraph"/>
              <w:numPr>
                <w:ilvl w:val="0"/>
                <w:numId w:val="2"/>
              </w:numPr>
              <w:spacing w:before="40" w:after="40"/>
            </w:pPr>
            <w:r>
              <w:t>Familiarity with tank construction standards such as BS EN 14015 or API 650.</w:t>
            </w:r>
          </w:p>
          <w:p w14:paraId="39958EDC" w14:textId="77777777" w:rsidR="007F628D" w:rsidRDefault="00F706E1">
            <w:pPr>
              <w:pStyle w:val="ListParagraph"/>
              <w:numPr>
                <w:ilvl w:val="0"/>
                <w:numId w:val="2"/>
              </w:numPr>
              <w:spacing w:before="40" w:after="40"/>
            </w:pPr>
            <w:r>
              <w:t>Basic grinding and surface preparation competency.</w:t>
            </w:r>
          </w:p>
          <w:p w14:paraId="399669B6" w14:textId="77777777" w:rsidR="007F628D" w:rsidRDefault="00F706E1">
            <w:pPr>
              <w:pStyle w:val="ListParagraph"/>
              <w:numPr>
                <w:ilvl w:val="0"/>
                <w:numId w:val="2"/>
              </w:numPr>
              <w:spacing w:before="40" w:after="40"/>
            </w:pPr>
            <w:r>
              <w:t>Experience working within a NAECI/CIJC labour framework environment.</w:t>
            </w:r>
          </w:p>
          <w:p w14:paraId="462B2950" w14:textId="77777777" w:rsidR="007F628D" w:rsidRDefault="00F706E1">
            <w:pPr>
              <w:pStyle w:val="ListParagraph"/>
              <w:numPr>
                <w:ilvl w:val="0"/>
                <w:numId w:val="2"/>
              </w:numPr>
              <w:spacing w:before="40" w:after="40"/>
            </w:pPr>
            <w:r>
              <w:t>Any relevant CITB or NVQ Level 2 qualification in a construction or engineering discipline.</w:t>
            </w:r>
          </w:p>
          <w:p w14:paraId="1C445D93" w14:textId="77777777" w:rsidR="00724583" w:rsidRDefault="00724583">
            <w:pPr>
              <w:pStyle w:val="ListParagraph"/>
              <w:numPr>
                <w:ilvl w:val="0"/>
                <w:numId w:val="2"/>
              </w:numPr>
              <w:spacing w:before="40" w:after="40"/>
            </w:pPr>
            <w:r>
              <w:t>Confined Space Entry – Medium Risk Training</w:t>
            </w:r>
          </w:p>
          <w:p w14:paraId="5A623D9D" w14:textId="39291E96" w:rsidR="00657050" w:rsidRDefault="00657050">
            <w:pPr>
              <w:pStyle w:val="ListParagraph"/>
              <w:numPr>
                <w:ilvl w:val="0"/>
                <w:numId w:val="2"/>
              </w:numPr>
              <w:spacing w:before="40" w:after="40"/>
            </w:pPr>
            <w:r>
              <w:t>Signal / Slinger qualification</w:t>
            </w:r>
          </w:p>
        </w:tc>
      </w:tr>
    </w:tbl>
    <w:p w14:paraId="5EBC08F3" w14:textId="77777777" w:rsidR="007F628D" w:rsidRDefault="007F628D">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F628D" w14:paraId="7BDABB8D" w14:textId="77777777">
        <w:tc>
          <w:tcPr>
            <w:tcW w:w="9026" w:type="dxa"/>
            <w:tcBorders>
              <w:top w:val="single" w:sz="4" w:space="0" w:color="BFBFBF"/>
              <w:left w:val="single" w:sz="4" w:space="0" w:color="BFBFBF"/>
              <w:bottom w:val="single" w:sz="4" w:space="0" w:color="BFBFBF"/>
              <w:right w:val="single" w:sz="4" w:space="0" w:color="BFBFBF"/>
            </w:tcBorders>
            <w:shd w:val="clear" w:color="auto" w:fill="ED1C24"/>
            <w:tcMar>
              <w:top w:w="100" w:type="dxa"/>
              <w:left w:w="160" w:type="dxa"/>
              <w:bottom w:w="100" w:type="dxa"/>
              <w:right w:w="160" w:type="dxa"/>
            </w:tcMar>
          </w:tcPr>
          <w:p w14:paraId="6EB04883" w14:textId="77777777" w:rsidR="007F628D" w:rsidRDefault="00F706E1">
            <w:r>
              <w:rPr>
                <w:b/>
                <w:bCs/>
                <w:color w:val="FFFFFF"/>
                <w:sz w:val="20"/>
                <w:szCs w:val="20"/>
              </w:rPr>
              <w:t>NAECI Classification &amp; Pay Framework</w:t>
            </w:r>
          </w:p>
        </w:tc>
      </w:tr>
      <w:tr w:rsidR="007F628D" w14:paraId="48CD24FB" w14:textId="77777777">
        <w:tc>
          <w:tcPr>
            <w:tcW w:w="9026"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60" w:type="dxa"/>
              <w:bottom w:w="100" w:type="dxa"/>
              <w:right w:w="160" w:type="dxa"/>
            </w:tcMar>
          </w:tcPr>
          <w:p w14:paraId="115A1B11" w14:textId="77777777" w:rsidR="007F628D" w:rsidRDefault="00F706E1">
            <w:pPr>
              <w:spacing w:before="40" w:after="40"/>
            </w:pPr>
            <w:r>
              <w:t xml:space="preserve">This role is classified as a </w:t>
            </w:r>
            <w:r>
              <w:rPr>
                <w:b/>
                <w:bCs/>
                <w:sz w:val="20"/>
                <w:szCs w:val="20"/>
              </w:rPr>
              <w:t>Grade 3 — Semi-Skilled Operative</w:t>
            </w:r>
            <w:r>
              <w:t xml:space="preserve"> under the National Agreement for the Engineering Construction Industry (NAECI). The operative shall be remunerated in accordance with the current NAECI Basic Rates of Pay, Supplementary Payments and Project Agreement (where applicable). Hours, overtime, travel, lodging allowances and welfare provisions shall be as specified in the relevant NAECI schedules and any site-specific Project Agreement in force.</w:t>
            </w:r>
          </w:p>
        </w:tc>
      </w:tr>
    </w:tbl>
    <w:p w14:paraId="011087CE" w14:textId="77777777" w:rsidR="007F628D" w:rsidRDefault="007F628D">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F628D" w14:paraId="341B594A" w14:textId="77777777">
        <w:tc>
          <w:tcPr>
            <w:tcW w:w="9026" w:type="dxa"/>
            <w:tcBorders>
              <w:top w:val="single" w:sz="4" w:space="0" w:color="BFBFBF"/>
              <w:left w:val="single" w:sz="4" w:space="0" w:color="BFBFBF"/>
              <w:bottom w:val="single" w:sz="4" w:space="0" w:color="BFBFBF"/>
              <w:right w:val="single" w:sz="4" w:space="0" w:color="BFBFBF"/>
            </w:tcBorders>
            <w:shd w:val="clear" w:color="auto" w:fill="ED1C24"/>
            <w:tcMar>
              <w:top w:w="100" w:type="dxa"/>
              <w:left w:w="160" w:type="dxa"/>
              <w:bottom w:w="100" w:type="dxa"/>
              <w:right w:w="160" w:type="dxa"/>
            </w:tcMar>
          </w:tcPr>
          <w:p w14:paraId="72369C69" w14:textId="77777777" w:rsidR="007F628D" w:rsidRDefault="00F706E1">
            <w:r>
              <w:rPr>
                <w:b/>
                <w:bCs/>
                <w:color w:val="FFFFFF"/>
                <w:sz w:val="20"/>
                <w:szCs w:val="20"/>
              </w:rPr>
              <w:t>Health, Safety &amp; Environment</w:t>
            </w:r>
          </w:p>
        </w:tc>
      </w:tr>
      <w:tr w:rsidR="007F628D" w14:paraId="6554D1E6" w14:textId="77777777">
        <w:tc>
          <w:tcPr>
            <w:tcW w:w="9026"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60" w:type="dxa"/>
              <w:bottom w:w="100" w:type="dxa"/>
              <w:right w:w="160" w:type="dxa"/>
            </w:tcMar>
          </w:tcPr>
          <w:p w14:paraId="183D358A" w14:textId="77777777" w:rsidR="007F628D" w:rsidRDefault="00F706E1">
            <w:pPr>
              <w:pStyle w:val="ListParagraph"/>
              <w:numPr>
                <w:ilvl w:val="0"/>
                <w:numId w:val="2"/>
              </w:numPr>
              <w:spacing w:before="40" w:after="40"/>
            </w:pPr>
            <w:r>
              <w:t>The operative shall at all times comply with the requirements of the Health &amp; Safety at Work etc. Act 1974, the Management of Health &amp; Safety at Work Regulations 1999, and all applicable site-specific Health, Safety &amp; Environment rules and procedures.</w:t>
            </w:r>
          </w:p>
          <w:p w14:paraId="7F3BB7CF" w14:textId="77777777" w:rsidR="007F628D" w:rsidRDefault="00F706E1">
            <w:pPr>
              <w:pStyle w:val="ListParagraph"/>
              <w:numPr>
                <w:ilvl w:val="0"/>
                <w:numId w:val="2"/>
              </w:numPr>
              <w:spacing w:before="40" w:after="40"/>
            </w:pPr>
            <w:r>
              <w:t>The operative shall cooperate with the Company's efforts to fulfil statutory obligations and shall not endanger themselves or others through their acts or omissions.</w:t>
            </w:r>
          </w:p>
          <w:p w14:paraId="310787BF" w14:textId="77777777" w:rsidR="007F628D" w:rsidRDefault="00F706E1">
            <w:pPr>
              <w:pStyle w:val="ListParagraph"/>
              <w:numPr>
                <w:ilvl w:val="0"/>
                <w:numId w:val="2"/>
              </w:numPr>
              <w:spacing w:before="40" w:after="40"/>
            </w:pPr>
            <w:r>
              <w:t>Any unsafe acts, conditions or incidents shall be reported to the Supervisor immediately.</w:t>
            </w:r>
          </w:p>
          <w:p w14:paraId="08EF747F" w14:textId="77777777" w:rsidR="007F628D" w:rsidRDefault="00F706E1">
            <w:pPr>
              <w:pStyle w:val="ListParagraph"/>
              <w:numPr>
                <w:ilvl w:val="0"/>
                <w:numId w:val="2"/>
              </w:numPr>
              <w:spacing w:before="40" w:after="40"/>
            </w:pPr>
            <w:r>
              <w:t>The operative shall make proper use of all PPE and safety equipment provided, and shall participate in all mandatory safety briefings, toolbox talks and inductions.</w:t>
            </w:r>
          </w:p>
        </w:tc>
      </w:tr>
    </w:tbl>
    <w:p w14:paraId="02055361" w14:textId="77777777" w:rsidR="007F628D" w:rsidRDefault="007F628D">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F628D" w14:paraId="6E61EC8F" w14:textId="77777777">
        <w:tc>
          <w:tcPr>
            <w:tcW w:w="9026" w:type="dxa"/>
            <w:tcBorders>
              <w:top w:val="single" w:sz="4" w:space="0" w:color="BFBFBF"/>
              <w:left w:val="single" w:sz="4" w:space="0" w:color="BFBFBF"/>
              <w:bottom w:val="single" w:sz="4" w:space="0" w:color="BFBFBF"/>
              <w:right w:val="single" w:sz="4" w:space="0" w:color="BFBFBF"/>
            </w:tcBorders>
            <w:shd w:val="clear" w:color="auto" w:fill="ED1C24"/>
            <w:tcMar>
              <w:top w:w="100" w:type="dxa"/>
              <w:left w:w="160" w:type="dxa"/>
              <w:bottom w:w="100" w:type="dxa"/>
              <w:right w:w="160" w:type="dxa"/>
            </w:tcMar>
          </w:tcPr>
          <w:p w14:paraId="215C5627" w14:textId="77777777" w:rsidR="007F628D" w:rsidRDefault="00F706E1">
            <w:r>
              <w:rPr>
                <w:b/>
                <w:bCs/>
                <w:color w:val="FFFFFF"/>
                <w:sz w:val="20"/>
                <w:szCs w:val="20"/>
              </w:rPr>
              <w:t>Conclusion</w:t>
            </w:r>
          </w:p>
        </w:tc>
      </w:tr>
      <w:tr w:rsidR="007F628D" w14:paraId="11FBEE9F" w14:textId="77777777">
        <w:tc>
          <w:tcPr>
            <w:tcW w:w="9026"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60" w:type="dxa"/>
              <w:bottom w:w="100" w:type="dxa"/>
              <w:right w:w="160" w:type="dxa"/>
            </w:tcMar>
          </w:tcPr>
          <w:p w14:paraId="3DBD2B5A" w14:textId="77777777" w:rsidR="007F628D" w:rsidRDefault="00F706E1">
            <w:pPr>
              <w:pStyle w:val="ListParagraph"/>
              <w:numPr>
                <w:ilvl w:val="0"/>
                <w:numId w:val="2"/>
              </w:numPr>
              <w:spacing w:before="40" w:after="40"/>
            </w:pPr>
            <w:r>
              <w:t>This job profile sets out the main duties and responsibilities of the job holder. It does not constitute an exhaustive or comprehensive description of duties and the job holder will be required to carry out any additional tasks as and when requested to do so by their manager.</w:t>
            </w:r>
          </w:p>
          <w:p w14:paraId="1D34E9D9" w14:textId="77777777" w:rsidR="007F628D" w:rsidRDefault="00F706E1">
            <w:pPr>
              <w:pStyle w:val="ListParagraph"/>
              <w:numPr>
                <w:ilvl w:val="0"/>
                <w:numId w:val="2"/>
              </w:numPr>
              <w:spacing w:before="40" w:after="40"/>
            </w:pPr>
            <w:r>
              <w:t>Responsibilities and duties may also change in light of future business needs and personal development.</w:t>
            </w:r>
          </w:p>
        </w:tc>
      </w:tr>
    </w:tbl>
    <w:p w14:paraId="08FDF380" w14:textId="77777777" w:rsidR="007F628D" w:rsidRDefault="007F628D">
      <w:pPr>
        <w:spacing w:before="200"/>
      </w:pPr>
    </w:p>
    <w:p w14:paraId="59811B6E" w14:textId="77777777" w:rsidR="007473EB" w:rsidRDefault="007473EB"/>
    <w:sectPr w:rsidR="007473EB">
      <w:pgSz w:w="11906" w:h="16838"/>
      <w:pgMar w:top="72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10D94"/>
    <w:multiLevelType w:val="hybridMultilevel"/>
    <w:tmpl w:val="4FF27976"/>
    <w:lvl w:ilvl="0" w:tplc="2FF634FC">
      <w:start w:val="1"/>
      <w:numFmt w:val="bullet"/>
      <w:lvlText w:val="●"/>
      <w:lvlJc w:val="left"/>
      <w:pPr>
        <w:ind w:left="720" w:hanging="360"/>
      </w:pPr>
    </w:lvl>
    <w:lvl w:ilvl="1" w:tplc="17A200EE">
      <w:start w:val="1"/>
      <w:numFmt w:val="bullet"/>
      <w:lvlText w:val="○"/>
      <w:lvlJc w:val="left"/>
      <w:pPr>
        <w:ind w:left="1440" w:hanging="360"/>
      </w:pPr>
    </w:lvl>
    <w:lvl w:ilvl="2" w:tplc="0EE25842">
      <w:start w:val="1"/>
      <w:numFmt w:val="bullet"/>
      <w:lvlText w:val="■"/>
      <w:lvlJc w:val="left"/>
      <w:pPr>
        <w:ind w:left="2160" w:hanging="360"/>
      </w:pPr>
    </w:lvl>
    <w:lvl w:ilvl="3" w:tplc="6A5812A2">
      <w:start w:val="1"/>
      <w:numFmt w:val="bullet"/>
      <w:lvlText w:val="●"/>
      <w:lvlJc w:val="left"/>
      <w:pPr>
        <w:ind w:left="2880" w:hanging="360"/>
      </w:pPr>
    </w:lvl>
    <w:lvl w:ilvl="4" w:tplc="276264F6">
      <w:start w:val="1"/>
      <w:numFmt w:val="bullet"/>
      <w:lvlText w:val="○"/>
      <w:lvlJc w:val="left"/>
      <w:pPr>
        <w:ind w:left="3600" w:hanging="360"/>
      </w:pPr>
    </w:lvl>
    <w:lvl w:ilvl="5" w:tplc="87F2BB80">
      <w:start w:val="1"/>
      <w:numFmt w:val="bullet"/>
      <w:lvlText w:val="■"/>
      <w:lvlJc w:val="left"/>
      <w:pPr>
        <w:ind w:left="4320" w:hanging="360"/>
      </w:pPr>
    </w:lvl>
    <w:lvl w:ilvl="6" w:tplc="9F54C98E">
      <w:start w:val="1"/>
      <w:numFmt w:val="bullet"/>
      <w:lvlText w:val="●"/>
      <w:lvlJc w:val="left"/>
      <w:pPr>
        <w:ind w:left="5040" w:hanging="360"/>
      </w:pPr>
    </w:lvl>
    <w:lvl w:ilvl="7" w:tplc="FE56C6E8">
      <w:start w:val="1"/>
      <w:numFmt w:val="bullet"/>
      <w:lvlText w:val="●"/>
      <w:lvlJc w:val="left"/>
      <w:pPr>
        <w:ind w:left="5760" w:hanging="360"/>
      </w:pPr>
    </w:lvl>
    <w:lvl w:ilvl="8" w:tplc="3B4098CC">
      <w:start w:val="1"/>
      <w:numFmt w:val="bullet"/>
      <w:lvlText w:val="●"/>
      <w:lvlJc w:val="left"/>
      <w:pPr>
        <w:ind w:left="6480" w:hanging="360"/>
      </w:pPr>
    </w:lvl>
  </w:abstractNum>
  <w:abstractNum w:abstractNumId="1" w15:restartNumberingAfterBreak="0">
    <w:nsid w:val="63B72279"/>
    <w:multiLevelType w:val="hybridMultilevel"/>
    <w:tmpl w:val="89A26BAE"/>
    <w:lvl w:ilvl="0" w:tplc="6F6E5938">
      <w:start w:val="1"/>
      <w:numFmt w:val="bullet"/>
      <w:lvlText w:val="•"/>
      <w:lvlJc w:val="left"/>
      <w:pPr>
        <w:ind w:left="560" w:hanging="280"/>
      </w:pPr>
    </w:lvl>
    <w:lvl w:ilvl="1" w:tplc="27C870B2">
      <w:numFmt w:val="decimal"/>
      <w:lvlText w:val=""/>
      <w:lvlJc w:val="left"/>
    </w:lvl>
    <w:lvl w:ilvl="2" w:tplc="B4DE4DDE">
      <w:numFmt w:val="decimal"/>
      <w:lvlText w:val=""/>
      <w:lvlJc w:val="left"/>
    </w:lvl>
    <w:lvl w:ilvl="3" w:tplc="91F271FA">
      <w:numFmt w:val="decimal"/>
      <w:lvlText w:val=""/>
      <w:lvlJc w:val="left"/>
    </w:lvl>
    <w:lvl w:ilvl="4" w:tplc="03287EAC">
      <w:numFmt w:val="decimal"/>
      <w:lvlText w:val=""/>
      <w:lvlJc w:val="left"/>
    </w:lvl>
    <w:lvl w:ilvl="5" w:tplc="FAEE3C1A">
      <w:numFmt w:val="decimal"/>
      <w:lvlText w:val=""/>
      <w:lvlJc w:val="left"/>
    </w:lvl>
    <w:lvl w:ilvl="6" w:tplc="427CE55A">
      <w:numFmt w:val="decimal"/>
      <w:lvlText w:val=""/>
      <w:lvlJc w:val="left"/>
    </w:lvl>
    <w:lvl w:ilvl="7" w:tplc="6E1A63EE">
      <w:numFmt w:val="decimal"/>
      <w:lvlText w:val=""/>
      <w:lvlJc w:val="left"/>
    </w:lvl>
    <w:lvl w:ilvl="8" w:tplc="0E66BC2C">
      <w:numFmt w:val="decimal"/>
      <w:lvlText w:val=""/>
      <w:lvlJc w:val="left"/>
    </w:lvl>
  </w:abstractNum>
  <w:num w:numId="1" w16cid:durableId="1987198301">
    <w:abstractNumId w:val="0"/>
    <w:lvlOverride w:ilvl="0">
      <w:startOverride w:val="1"/>
    </w:lvlOverride>
  </w:num>
  <w:num w:numId="2" w16cid:durableId="2599934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8D"/>
    <w:rsid w:val="00105A56"/>
    <w:rsid w:val="00136F88"/>
    <w:rsid w:val="002862F9"/>
    <w:rsid w:val="00657050"/>
    <w:rsid w:val="00710D44"/>
    <w:rsid w:val="00724583"/>
    <w:rsid w:val="007473EB"/>
    <w:rsid w:val="007F628D"/>
    <w:rsid w:val="00F442AE"/>
    <w:rsid w:val="00F706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5DA9"/>
  <w15:docId w15:val="{6AA2AC85-2172-47CA-A98F-A61FB133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F1F1F"/>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3786</Characters>
  <Application>Microsoft Office Word</Application>
  <DocSecurity>4</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Helen Anderson</cp:lastModifiedBy>
  <cp:revision>2</cp:revision>
  <dcterms:created xsi:type="dcterms:W3CDTF">2026-03-19T14:59:00Z</dcterms:created>
  <dcterms:modified xsi:type="dcterms:W3CDTF">2026-03-19T14:59:00Z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fc46b4-1669-4e04-8c1e-411ffcd74bae_Enabled">
    <vt:lpwstr>true</vt:lpwstr>
  </property>
  <property fmtid="{D5CDD505-2E9C-101B-9397-08002B2CF9AE}" pid="3" name="MSIP_Label_01fc46b4-1669-4e04-8c1e-411ffcd74bae_SetDate">
    <vt:lpwstr>2026-03-18T14:18:49Z</vt:lpwstr>
  </property>
  <property fmtid="{D5CDD505-2E9C-101B-9397-08002B2CF9AE}" pid="4" name="MSIP_Label_01fc46b4-1669-4e04-8c1e-411ffcd74bae_Method">
    <vt:lpwstr>Standard</vt:lpwstr>
  </property>
  <property fmtid="{D5CDD505-2E9C-101B-9397-08002B2CF9AE}" pid="5" name="MSIP_Label_01fc46b4-1669-4e04-8c1e-411ffcd74bae_Name">
    <vt:lpwstr>Unclassified for Copilot</vt:lpwstr>
  </property>
  <property fmtid="{D5CDD505-2E9C-101B-9397-08002B2CF9AE}" pid="6" name="MSIP_Label_01fc46b4-1669-4e04-8c1e-411ffcd74bae_SiteId">
    <vt:lpwstr>59b188f8-e21d-4e87-a1e4-83504fda686e</vt:lpwstr>
  </property>
  <property fmtid="{D5CDD505-2E9C-101B-9397-08002B2CF9AE}" pid="7" name="MSIP_Label_01fc46b4-1669-4e04-8c1e-411ffcd74bae_ActionId">
    <vt:lpwstr>2b5d173c-de61-49f9-82ff-b98a74c21151</vt:lpwstr>
  </property>
  <property fmtid="{D5CDD505-2E9C-101B-9397-08002B2CF9AE}" pid="8" name="MSIP_Label_01fc46b4-1669-4e04-8c1e-411ffcd74bae_ContentBits">
    <vt:lpwstr>0</vt:lpwstr>
  </property>
  <property fmtid="{D5CDD505-2E9C-101B-9397-08002B2CF9AE}" pid="9" name="MSIP_Label_01fc46b4-1669-4e04-8c1e-411ffcd74bae_Tag">
    <vt:lpwstr>10, 3, 0, 1</vt:lpwstr>
  </property>
</Properties>
</file>